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224" w:rsidRDefault="00A724F9" w:rsidP="00E80224">
      <w:pPr>
        <w:pStyle w:val="Normalcentr"/>
        <w:ind w:left="0" w:right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-242570</wp:posOffset>
                </wp:positionH>
                <wp:positionV relativeFrom="paragraph">
                  <wp:posOffset>207010</wp:posOffset>
                </wp:positionV>
                <wp:extent cx="6210300" cy="49530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49530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E5DE4E" id="Rectangle 2" o:spid="_x0000_s1026" style="position:absolute;margin-left:-19.1pt;margin-top:16.3pt;width:489pt;height:390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4pQZQIAABsFAAAOAAAAZHJzL2Uyb0RvYy54bWysVEtPGzEQvlfqf7B8L/sg0BKxQRGIqhKC&#10;CKg4G6+drOr1uGMnm/TXd+zdbCKKeqh68c543t9+48urbWvYRqFvwFa8OMk5U1ZC3dhlxb8/3376&#10;wpkPwtbCgFUV3ynPr2YfP1x2bqpKWIGpFTJKYv20cxVfheCmWeblSrXCn4BTlowasBWBVFxmNYqO&#10;srcmK/P8POsAa4cglfd0e9Mb+Szl11rJ8KC1V4GZilNvIZ2Yztd4ZrNLMV2icKtGDm2If+iiFY2l&#10;omOqGxEEW2PzR6q2kQgedDiR0GagdSNVmoGmKfI30zythFNpFgLHuxEm///SyvvNAllTV7zkzIqW&#10;ftEjgSbs0ihWRng656fk9eQWOGiexDjrVmMbvzQF2yZIdyOkahuYpMvzsshPc0Jekm1ycUZyAj07&#10;hDv04auClkWh4kjlE5Ric+cDlSTXvUusZizrKO/pWZ8nttc3lKSwM6r3elSa5qIWypQtMUpdG2Qb&#10;QVyofxRxOMptLHnGEN0YMwYV7wWZsA8afGOYSiwbA/P3Ag/VRu9UEWwYA9vGAv49WPf+1PbRrFF8&#10;hXpHvxGh57d38rYhMO+EDwuBRGj6AbSk4YEObYDwg0HibAX467376E88IytnHS1Ixf3PtUDFmflm&#10;iYEXxWQSNyopk7PPJSl4bHk9tth1ew2Ee0HPgZNJjP7B7EWN0L7QLs9jVTIJK6l2xWXAvXId+sWl&#10;10Cq+Ty50RY5Ee7sk5MxeUQ1kuV5+yLQDYwKRMZ72C+TmL4hVu8bIy3M1wF0k1h3wHXAmzYwEWZ4&#10;LeKKH+vJ6/CmzX4DAAD//wMAUEsDBBQABgAIAAAAIQCQWtR74QAAAAoBAAAPAAAAZHJzL2Rvd25y&#10;ZXYueG1sTI/LTsMwEEX3SPyDNUjsWqcJitKQSYVQQKhiQ2HTnRubJMKPENtt6NczXcFyZo7unFtt&#10;ZqPZUU1+cBZhtUyAKds6OdgO4eP9aVEA80FYKbSzCuFHedjU11eVKKU72Td13IWOUYj1pUDoQxhL&#10;zn3bKyP80o3K0u3TTUYEGqeOy0mcKNxoniZJzo0YLH3oxagee9V+7aJBSOO20S8mbvPXYh+bc5Pf&#10;Pe+/EW9v5od7YEHN4Q+Giz6pQ01OBxet9EwjLLIiJRQhS3NgBKyzNXU5IBQr2vC64v8r1L8AAAD/&#10;/wMAUEsBAi0AFAAGAAgAAAAhALaDOJL+AAAA4QEAABMAAAAAAAAAAAAAAAAAAAAAAFtDb250ZW50&#10;X1R5cGVzXS54bWxQSwECLQAUAAYACAAAACEAOP0h/9YAAACUAQAACwAAAAAAAAAAAAAAAAAvAQAA&#10;X3JlbHMvLnJlbHNQSwECLQAUAAYACAAAACEA35OKUGUCAAAbBQAADgAAAAAAAAAAAAAAAAAuAgAA&#10;ZHJzL2Uyb0RvYy54bWxQSwECLQAUAAYACAAAACEAkFrUe+EAAAAKAQAADwAAAAAAAAAAAAAAAAC/&#10;BAAAZHJzL2Rvd25yZXYueG1sUEsFBgAAAAAEAAQA8wAAAM0FAAAAAA==&#10;" fillcolor="white [3201]" strokecolor="black [3200]" strokeweight=".5pt"/>
            </w:pict>
          </mc:Fallback>
        </mc:AlternateContent>
      </w:r>
    </w:p>
    <w:p w:rsidR="00E80224" w:rsidRDefault="00E80224" w:rsidP="00E80224">
      <w:pPr>
        <w:jc w:val="center"/>
        <w:rPr>
          <w:b/>
          <w:bCs/>
        </w:rPr>
      </w:pPr>
    </w:p>
    <w:p w:rsidR="00E80224" w:rsidRPr="00F40928" w:rsidRDefault="00E80224" w:rsidP="00C978C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40928">
        <w:rPr>
          <w:b/>
          <w:bCs/>
          <w:sz w:val="28"/>
          <w:szCs w:val="28"/>
        </w:rPr>
        <w:t>AVIS DE CONSULTATION ARCHITECT</w:t>
      </w:r>
      <w:r w:rsidR="00C978CA">
        <w:rPr>
          <w:b/>
          <w:bCs/>
          <w:sz w:val="28"/>
          <w:szCs w:val="28"/>
        </w:rPr>
        <w:t>URALE</w:t>
      </w:r>
    </w:p>
    <w:p w:rsidR="00E80224" w:rsidRDefault="00E80224" w:rsidP="00C978C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N</w:t>
      </w:r>
      <w:r w:rsidRPr="00EC64A2">
        <w:rPr>
          <w:b/>
          <w:bCs/>
        </w:rPr>
        <w:t>°</w:t>
      </w:r>
      <w:r w:rsidR="004B1B5F">
        <w:rPr>
          <w:b/>
          <w:bCs/>
        </w:rPr>
        <w:t>56I</w:t>
      </w:r>
      <w:r>
        <w:rPr>
          <w:b/>
          <w:bCs/>
        </w:rPr>
        <w:t>UH2C/201</w:t>
      </w:r>
      <w:r w:rsidR="00C978CA">
        <w:rPr>
          <w:b/>
          <w:bCs/>
        </w:rPr>
        <w:t>6</w:t>
      </w:r>
    </w:p>
    <w:p w:rsidR="00E80224" w:rsidRPr="00EC64A2" w:rsidRDefault="00E80224" w:rsidP="00A724F9">
      <w:pPr>
        <w:autoSpaceDE w:val="0"/>
        <w:autoSpaceDN w:val="0"/>
        <w:adjustRightInd w:val="0"/>
      </w:pPr>
    </w:p>
    <w:p w:rsidR="00E80224" w:rsidRPr="00B44D1E" w:rsidRDefault="00E80224" w:rsidP="006B77D9">
      <w:pPr>
        <w:autoSpaceDE w:val="0"/>
        <w:autoSpaceDN w:val="0"/>
        <w:adjustRightInd w:val="0"/>
        <w:jc w:val="both"/>
      </w:pPr>
      <w:r w:rsidRPr="00EC64A2">
        <w:t>Le</w:t>
      </w:r>
      <w:r>
        <w:t xml:space="preserve"> </w:t>
      </w:r>
      <w:r w:rsidR="004B1B5F">
        <w:rPr>
          <w:b/>
          <w:bCs/>
        </w:rPr>
        <w:t>Jeudi 01 Décembre 2016 à 12h00</w:t>
      </w:r>
      <w:r w:rsidRPr="00EC64A2">
        <w:t>. Il sera procédé, dans les bureaux de</w:t>
      </w:r>
      <w:r>
        <w:t xml:space="preserve"> la présidence de l’Université Hassan II </w:t>
      </w:r>
      <w:r w:rsidR="00C978CA">
        <w:t xml:space="preserve">de </w:t>
      </w:r>
      <w:r>
        <w:t xml:space="preserve">Casablanca, sis </w:t>
      </w:r>
      <w:r>
        <w:rPr>
          <w:b/>
          <w:bCs/>
          <w:sz w:val="18"/>
          <w:szCs w:val="18"/>
          <w:lang w:bidi="ar-MA"/>
        </w:rPr>
        <w:t>19</w:t>
      </w:r>
      <w:r>
        <w:t xml:space="preserve"> </w:t>
      </w:r>
      <w:r w:rsidR="006B77D9">
        <w:rPr>
          <w:b/>
          <w:bCs/>
          <w:sz w:val="18"/>
          <w:szCs w:val="18"/>
          <w:lang w:bidi="ar-MA"/>
        </w:rPr>
        <w:t xml:space="preserve">Tarik </w:t>
      </w:r>
      <w:proofErr w:type="spellStart"/>
      <w:r w:rsidR="006B77D9">
        <w:rPr>
          <w:b/>
          <w:bCs/>
          <w:sz w:val="18"/>
          <w:szCs w:val="18"/>
          <w:lang w:bidi="ar-MA"/>
        </w:rPr>
        <w:t>Ibnou</w:t>
      </w:r>
      <w:proofErr w:type="spellEnd"/>
      <w:r w:rsidR="006B77D9">
        <w:rPr>
          <w:b/>
          <w:bCs/>
          <w:sz w:val="18"/>
          <w:szCs w:val="18"/>
          <w:lang w:bidi="ar-MA"/>
        </w:rPr>
        <w:t xml:space="preserve"> </w:t>
      </w:r>
      <w:proofErr w:type="spellStart"/>
      <w:r w:rsidR="006B77D9">
        <w:rPr>
          <w:b/>
          <w:bCs/>
          <w:sz w:val="18"/>
          <w:szCs w:val="18"/>
          <w:lang w:bidi="ar-MA"/>
        </w:rPr>
        <w:t>Ziad</w:t>
      </w:r>
      <w:proofErr w:type="spellEnd"/>
      <w:r w:rsidR="006B77D9">
        <w:rPr>
          <w:b/>
          <w:bCs/>
          <w:sz w:val="18"/>
          <w:szCs w:val="18"/>
          <w:lang w:bidi="ar-MA"/>
        </w:rPr>
        <w:t xml:space="preserve"> -</w:t>
      </w:r>
      <w:r>
        <w:rPr>
          <w:b/>
          <w:bCs/>
          <w:sz w:val="18"/>
          <w:szCs w:val="18"/>
          <w:lang w:bidi="ar-MA"/>
        </w:rPr>
        <w:t>Casablanca –</w:t>
      </w:r>
      <w:r w:rsidRPr="00B44D1E">
        <w:t>à l'ouverture des plis relatifs à la consultation pour l’exécution de prestations architecturales concernant le projet de :</w:t>
      </w:r>
    </w:p>
    <w:p w:rsidR="00E80224" w:rsidRPr="009D6049" w:rsidRDefault="009D6049" w:rsidP="009D6049">
      <w:pPr>
        <w:autoSpaceDE w:val="0"/>
        <w:autoSpaceDN w:val="0"/>
        <w:adjustRightInd w:val="0"/>
        <w:ind w:left="567"/>
        <w:jc w:val="center"/>
        <w:rPr>
          <w:b/>
          <w:bCs/>
          <w:sz w:val="22"/>
          <w:szCs w:val="22"/>
        </w:rPr>
      </w:pPr>
      <w:r w:rsidRPr="009D6049">
        <w:rPr>
          <w:rFonts w:asciiTheme="majorBidi" w:hAnsiTheme="majorBidi" w:cstheme="majorBidi"/>
          <w:b/>
          <w:bCs/>
        </w:rPr>
        <w:t>La</w:t>
      </w:r>
      <w:r w:rsidRPr="009D6049">
        <w:rPr>
          <w:rFonts w:asciiTheme="majorBidi" w:eastAsia="Calibri" w:hAnsiTheme="majorBidi" w:cstheme="majorBidi"/>
          <w:b/>
          <w:bCs/>
          <w:spacing w:val="-2"/>
        </w:rPr>
        <w:t xml:space="preserve"> conception et suivi de la construction de 12 classes au sein de l’ENSET Mohammedia relevant de l’Université Hassan II de Casablanca</w:t>
      </w:r>
    </w:p>
    <w:p w:rsidR="006B77D9" w:rsidRPr="00B44D1E" w:rsidRDefault="006B77D9" w:rsidP="00E80224">
      <w:pPr>
        <w:autoSpaceDE w:val="0"/>
        <w:autoSpaceDN w:val="0"/>
        <w:adjustRightInd w:val="0"/>
        <w:ind w:left="567"/>
        <w:jc w:val="both"/>
        <w:rPr>
          <w:b/>
          <w:bCs/>
        </w:rPr>
      </w:pPr>
    </w:p>
    <w:p w:rsidR="00E80224" w:rsidRPr="00A724F9" w:rsidRDefault="00E80224" w:rsidP="00A724F9">
      <w:pPr>
        <w:autoSpaceDE w:val="0"/>
        <w:autoSpaceDN w:val="0"/>
        <w:adjustRightInd w:val="0"/>
        <w:jc w:val="both"/>
        <w:rPr>
          <w:b/>
          <w:bCs/>
          <w:color w:val="FF0000"/>
        </w:rPr>
      </w:pPr>
      <w:r w:rsidRPr="00B44D1E">
        <w:rPr>
          <w:b/>
          <w:bCs/>
        </w:rPr>
        <w:t>Estimation financière du projet :</w:t>
      </w:r>
      <w:r w:rsidR="0024274C">
        <w:rPr>
          <w:b/>
          <w:bCs/>
        </w:rPr>
        <w:t xml:space="preserve"> 5 162 </w:t>
      </w:r>
      <w:proofErr w:type="gramStart"/>
      <w:r w:rsidR="0024274C">
        <w:rPr>
          <w:b/>
          <w:bCs/>
        </w:rPr>
        <w:t>000.00</w:t>
      </w:r>
      <w:r w:rsidR="004B1B5F">
        <w:rPr>
          <w:rFonts w:ascii="Garamond" w:eastAsia="Trebuchet MS" w:hAnsi="Garamond" w:cs="Trebuchet MS"/>
          <w:b/>
          <w:bCs/>
          <w:spacing w:val="-1"/>
        </w:rPr>
        <w:t xml:space="preserve">  HT</w:t>
      </w:r>
      <w:proofErr w:type="gramEnd"/>
    </w:p>
    <w:p w:rsidR="00E80224" w:rsidRPr="00B44D1E" w:rsidRDefault="00E80224" w:rsidP="00A724F9">
      <w:pPr>
        <w:autoSpaceDE w:val="0"/>
        <w:autoSpaceDN w:val="0"/>
        <w:adjustRightInd w:val="0"/>
        <w:jc w:val="both"/>
      </w:pPr>
      <w:r w:rsidRPr="00B44D1E">
        <w:t xml:space="preserve">Le dossier de la Consultation, peut être retiré </w:t>
      </w:r>
      <w:r w:rsidR="00B3608E">
        <w:t xml:space="preserve">du Service des Affaires Economiques de </w:t>
      </w:r>
      <w:r w:rsidR="00B3608E" w:rsidRPr="00B44D1E">
        <w:t>L’ENSET</w:t>
      </w:r>
      <w:r w:rsidR="004B1B5F">
        <w:t xml:space="preserve"> Mohammedia</w:t>
      </w:r>
      <w:r w:rsidR="00F41C27" w:rsidRPr="00B44D1E">
        <w:t>, sis</w:t>
      </w:r>
      <w:r w:rsidR="004B1B5F">
        <w:rPr>
          <w:b/>
          <w:bCs/>
          <w:sz w:val="18"/>
          <w:szCs w:val="18"/>
          <w:lang w:bidi="ar-MA"/>
        </w:rPr>
        <w:t xml:space="preserve"> </w:t>
      </w:r>
      <w:r w:rsidR="004B1B5F" w:rsidRPr="009D6049">
        <w:t>Avenue Hassan II BP-159</w:t>
      </w:r>
      <w:r w:rsidRPr="00B44D1E">
        <w:t xml:space="preserve">, il peut également être téléchargé à partir du portail des marchés publics </w:t>
      </w:r>
      <w:r w:rsidRPr="00466B9A">
        <w:rPr>
          <w:b/>
        </w:rPr>
        <w:t>www.marchespublics.gov.ma</w:t>
      </w:r>
    </w:p>
    <w:p w:rsidR="00B44D1E" w:rsidRPr="00B44D1E" w:rsidRDefault="00E80224" w:rsidP="00A724F9">
      <w:pPr>
        <w:autoSpaceDE w:val="0"/>
        <w:autoSpaceDN w:val="0"/>
        <w:adjustRightInd w:val="0"/>
        <w:jc w:val="both"/>
      </w:pPr>
      <w:r w:rsidRPr="004B1B5F">
        <w:t>Le contenu ainsi que la présentation des dossiers des concurrents doivent être conformes aux dispositions des articles</w:t>
      </w:r>
      <w:r w:rsidR="00B3608E">
        <w:t xml:space="preserve"> 100 et 101</w:t>
      </w:r>
      <w:r w:rsidR="00B3608E" w:rsidRPr="004B1B5F">
        <w:t xml:space="preserve"> du</w:t>
      </w:r>
      <w:r w:rsidR="002B1B33" w:rsidRPr="004B1B5F">
        <w:t xml:space="preserve"> </w:t>
      </w:r>
      <w:r w:rsidRPr="004B1B5F">
        <w:t xml:space="preserve">Règlement </w:t>
      </w:r>
      <w:r w:rsidR="0024274C" w:rsidRPr="004B1B5F">
        <w:t>du 25</w:t>
      </w:r>
      <w:r w:rsidR="002B1B33" w:rsidRPr="004B1B5F">
        <w:t xml:space="preserve"> mars 2015</w:t>
      </w:r>
      <w:r w:rsidR="0024274C">
        <w:t xml:space="preserve"> relatif aux </w:t>
      </w:r>
      <w:proofErr w:type="spellStart"/>
      <w:r w:rsidRPr="004B1B5F">
        <w:t>archés</w:t>
      </w:r>
      <w:proofErr w:type="spellEnd"/>
      <w:r w:rsidR="00B44D1E" w:rsidRPr="004B1B5F">
        <w:t xml:space="preserve"> </w:t>
      </w:r>
      <w:r w:rsidR="0024274C" w:rsidRPr="004B1B5F">
        <w:t>Publics de</w:t>
      </w:r>
      <w:r w:rsidRPr="004B1B5F">
        <w:t xml:space="preserve"> l’Université</w:t>
      </w:r>
      <w:r w:rsidR="002B1B33" w:rsidRPr="004B1B5F">
        <w:t xml:space="preserve"> Hassan II de Casablanca</w:t>
      </w:r>
      <w:r w:rsidRPr="004B1B5F">
        <w:t>.</w:t>
      </w:r>
    </w:p>
    <w:p w:rsidR="00E80224" w:rsidRPr="00A724F9" w:rsidRDefault="00E80224" w:rsidP="00A724F9">
      <w:pPr>
        <w:autoSpaceDE w:val="0"/>
        <w:autoSpaceDN w:val="0"/>
        <w:adjustRightInd w:val="0"/>
        <w:jc w:val="both"/>
      </w:pPr>
      <w:r w:rsidRPr="00B44D1E">
        <w:t>Les candidats peuvent :</w:t>
      </w:r>
    </w:p>
    <w:p w:rsidR="004B1B5F" w:rsidRDefault="00E80224" w:rsidP="00B44D1E">
      <w:pPr>
        <w:autoSpaceDE w:val="0"/>
        <w:autoSpaceDN w:val="0"/>
        <w:adjustRightInd w:val="0"/>
        <w:jc w:val="both"/>
      </w:pPr>
      <w:r w:rsidRPr="00B44D1E">
        <w:t xml:space="preserve">- soit déposer contre récépissé leurs plis </w:t>
      </w:r>
      <w:r w:rsidR="004764C7">
        <w:t xml:space="preserve">au service des Affaires Economiques de </w:t>
      </w:r>
      <w:r w:rsidR="004764C7" w:rsidRPr="00B44D1E">
        <w:t>l’ENSET</w:t>
      </w:r>
      <w:r w:rsidR="004B1B5F">
        <w:t xml:space="preserve"> Mohammedia</w:t>
      </w:r>
      <w:r w:rsidR="004764C7">
        <w:t xml:space="preserve"> sise à Avenue Hassan II BP -159</w:t>
      </w:r>
    </w:p>
    <w:p w:rsidR="00E80224" w:rsidRPr="00B44D1E" w:rsidRDefault="00E80224" w:rsidP="00B44D1E">
      <w:pPr>
        <w:autoSpaceDE w:val="0"/>
        <w:autoSpaceDN w:val="0"/>
        <w:adjustRightInd w:val="0"/>
        <w:jc w:val="both"/>
      </w:pPr>
      <w:r w:rsidRPr="00B44D1E">
        <w:t xml:space="preserve">- soit les envoyer par courrier recommandé avec accusé de réception </w:t>
      </w:r>
      <w:r w:rsidR="00B44D1E" w:rsidRPr="00B44D1E">
        <w:t xml:space="preserve">à </w:t>
      </w:r>
      <w:r w:rsidR="004764C7" w:rsidRPr="00B44D1E">
        <w:t>l’adresse précitée</w:t>
      </w:r>
      <w:r w:rsidRPr="00B44D1E">
        <w:t xml:space="preserve"> ;</w:t>
      </w:r>
    </w:p>
    <w:p w:rsidR="00E80224" w:rsidRPr="00A724F9" w:rsidRDefault="00E80224" w:rsidP="00A724F9">
      <w:pPr>
        <w:autoSpaceDE w:val="0"/>
        <w:autoSpaceDN w:val="0"/>
        <w:adjustRightInd w:val="0"/>
        <w:jc w:val="both"/>
      </w:pPr>
      <w:r w:rsidRPr="00B44D1E">
        <w:t>- soit les remettre au président du jury de la Consultation au début de la séance et avant l'ouverture des plis.</w:t>
      </w:r>
    </w:p>
    <w:p w:rsidR="002B1B33" w:rsidRDefault="00E80224" w:rsidP="00A724F9">
      <w:pPr>
        <w:autoSpaceDE w:val="0"/>
        <w:autoSpaceDN w:val="0"/>
        <w:adjustRightInd w:val="0"/>
        <w:jc w:val="both"/>
      </w:pPr>
      <w:r w:rsidRPr="00097C8B">
        <w:t xml:space="preserve">Les pièces justificatives à fournir sont celles prévues par l'article </w:t>
      </w:r>
      <w:r w:rsidR="00C265DB" w:rsidRPr="00097C8B">
        <w:t xml:space="preserve">04 et </w:t>
      </w:r>
      <w:r w:rsidR="006F4012">
        <w:t>09</w:t>
      </w:r>
      <w:r w:rsidRPr="00097C8B">
        <w:t xml:space="preserve"> du règlement</w:t>
      </w:r>
      <w:r w:rsidR="00C265DB" w:rsidRPr="00097C8B">
        <w:t xml:space="preserve"> de la consultation</w:t>
      </w:r>
    </w:p>
    <w:p w:rsidR="00C978CA" w:rsidRPr="004B1B5F" w:rsidRDefault="004764C7" w:rsidP="00A724F9">
      <w:pPr>
        <w:autoSpaceDE w:val="0"/>
        <w:autoSpaceDN w:val="0"/>
        <w:adjustRightInd w:val="0"/>
        <w:jc w:val="both"/>
      </w:pPr>
      <w:r w:rsidRPr="004764C7">
        <w:rPr>
          <w:b/>
          <w:bCs/>
        </w:rPr>
        <w:t xml:space="preserve"> NB</w:t>
      </w:r>
      <w:r>
        <w:t xml:space="preserve"> : </w:t>
      </w:r>
      <w:r w:rsidR="004B1B5F" w:rsidRPr="004B1B5F">
        <w:t xml:space="preserve">Une visite des lieux collective sera prévue le </w:t>
      </w:r>
      <w:r w:rsidR="00A724F9">
        <w:rPr>
          <w:b/>
        </w:rPr>
        <w:t>17</w:t>
      </w:r>
      <w:r w:rsidR="004B1B5F" w:rsidRPr="004B1B5F">
        <w:rPr>
          <w:b/>
        </w:rPr>
        <w:t xml:space="preserve"> Novembre 2016</w:t>
      </w:r>
      <w:r>
        <w:rPr>
          <w:b/>
        </w:rPr>
        <w:t xml:space="preserve"> à 10 :00</w:t>
      </w:r>
      <w:r w:rsidR="004B1B5F">
        <w:rPr>
          <w:b/>
        </w:rPr>
        <w:t xml:space="preserve"> </w:t>
      </w:r>
      <w:r w:rsidR="004B1B5F" w:rsidRPr="004B1B5F">
        <w:t xml:space="preserve">au siège de l’ENSET Mohammedia </w:t>
      </w:r>
    </w:p>
    <w:p w:rsidR="00C978CA" w:rsidRPr="004B1B5F" w:rsidRDefault="00C978CA" w:rsidP="00C978CA">
      <w:pPr>
        <w:pStyle w:val="Normalcentr"/>
        <w:bidi/>
        <w:ind w:left="0" w:right="0"/>
        <w:jc w:val="center"/>
        <w:rPr>
          <w:bCs/>
          <w:sz w:val="32"/>
          <w:szCs w:val="24"/>
          <w:highlight w:val="yellow"/>
          <w:lang w:bidi="ar-MA"/>
        </w:rPr>
      </w:pPr>
    </w:p>
    <w:p w:rsidR="00097C8B" w:rsidRDefault="00097C8B" w:rsidP="00097C8B">
      <w:pPr>
        <w:pStyle w:val="Normalcentr"/>
        <w:bidi/>
        <w:ind w:left="0" w:right="0"/>
        <w:jc w:val="center"/>
        <w:rPr>
          <w:b/>
          <w:bCs/>
          <w:sz w:val="32"/>
          <w:szCs w:val="24"/>
          <w:highlight w:val="yellow"/>
        </w:rPr>
      </w:pPr>
    </w:p>
    <w:p w:rsidR="00097C8B" w:rsidRDefault="00097C8B" w:rsidP="00097C8B">
      <w:pPr>
        <w:pStyle w:val="Normalcentr"/>
        <w:bidi/>
        <w:ind w:left="0" w:right="0"/>
        <w:jc w:val="center"/>
        <w:rPr>
          <w:b/>
          <w:bCs/>
          <w:sz w:val="32"/>
          <w:szCs w:val="24"/>
          <w:highlight w:val="yellow"/>
        </w:rPr>
      </w:pPr>
    </w:p>
    <w:p w:rsidR="00097C8B" w:rsidRDefault="00097C8B" w:rsidP="00097C8B">
      <w:pPr>
        <w:pStyle w:val="Normalcentr"/>
        <w:bidi/>
        <w:ind w:left="0" w:right="0"/>
        <w:jc w:val="center"/>
        <w:rPr>
          <w:b/>
          <w:bCs/>
          <w:sz w:val="32"/>
          <w:szCs w:val="24"/>
          <w:highlight w:val="yellow"/>
        </w:rPr>
      </w:pPr>
    </w:p>
    <w:p w:rsidR="00097C8B" w:rsidRDefault="00097C8B" w:rsidP="00097C8B">
      <w:pPr>
        <w:pStyle w:val="Normalcentr"/>
        <w:bidi/>
        <w:ind w:left="0" w:right="0"/>
        <w:jc w:val="center"/>
        <w:rPr>
          <w:b/>
          <w:bCs/>
          <w:sz w:val="32"/>
          <w:szCs w:val="24"/>
          <w:highlight w:val="yellow"/>
        </w:rPr>
      </w:pPr>
    </w:p>
    <w:p w:rsidR="00097C8B" w:rsidRDefault="00097C8B" w:rsidP="00097C8B">
      <w:pPr>
        <w:pStyle w:val="Normalcentr"/>
        <w:bidi/>
        <w:ind w:left="0" w:right="0"/>
        <w:jc w:val="center"/>
        <w:rPr>
          <w:b/>
          <w:bCs/>
          <w:sz w:val="32"/>
          <w:szCs w:val="24"/>
          <w:highlight w:val="yellow"/>
        </w:rPr>
      </w:pPr>
    </w:p>
    <w:p w:rsidR="00B54DB2" w:rsidRPr="00962EC3" w:rsidRDefault="00B54DB2" w:rsidP="00B73C27">
      <w:pPr>
        <w:bidi/>
        <w:ind w:right="-142"/>
        <w:jc w:val="both"/>
        <w:rPr>
          <w:b/>
          <w:bCs/>
          <w:color w:val="FF0000"/>
          <w:lang w:bidi="ar-MA"/>
        </w:rPr>
      </w:pPr>
      <w:bookmarkStart w:id="0" w:name="_GoBack"/>
      <w:bookmarkEnd w:id="0"/>
    </w:p>
    <w:sectPr w:rsidR="00B54DB2" w:rsidRPr="00962EC3" w:rsidSect="00B54DB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BF6" w:rsidRDefault="00FB3BF6" w:rsidP="00C265DB">
      <w:r>
        <w:separator/>
      </w:r>
    </w:p>
  </w:endnote>
  <w:endnote w:type="continuationSeparator" w:id="0">
    <w:p w:rsidR="00FB3BF6" w:rsidRDefault="00FB3BF6" w:rsidP="00C26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BF6" w:rsidRDefault="00FB3BF6" w:rsidP="00C265DB">
      <w:r>
        <w:separator/>
      </w:r>
    </w:p>
  </w:footnote>
  <w:footnote w:type="continuationSeparator" w:id="0">
    <w:p w:rsidR="00FB3BF6" w:rsidRDefault="00FB3BF6" w:rsidP="00C265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5DB" w:rsidRDefault="0096339A">
    <w:pPr>
      <w:pStyle w:val="En-tt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-372745</wp:posOffset>
          </wp:positionH>
          <wp:positionV relativeFrom="paragraph">
            <wp:posOffset>-330200</wp:posOffset>
          </wp:positionV>
          <wp:extent cx="6403975" cy="1023620"/>
          <wp:effectExtent l="19050" t="0" r="0" b="0"/>
          <wp:wrapTight wrapText="bothSides">
            <wp:wrapPolygon edited="0">
              <wp:start x="-64" y="0"/>
              <wp:lineTo x="-64" y="21305"/>
              <wp:lineTo x="21589" y="21305"/>
              <wp:lineTo x="21589" y="0"/>
              <wp:lineTo x="-64" y="0"/>
            </wp:wrapPolygon>
          </wp:wrapTight>
          <wp:docPr id="1" name="Image 1" descr="DISK IMAC:Users:apple:Desktop:Entête hau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ISK IMAC:Users:apple:Desktop:Entête hau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3975" cy="1023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00E2B"/>
    <w:multiLevelType w:val="hybridMultilevel"/>
    <w:tmpl w:val="D17C2D7E"/>
    <w:lvl w:ilvl="0" w:tplc="F6ACC5EE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3B7970"/>
    <w:multiLevelType w:val="hybridMultilevel"/>
    <w:tmpl w:val="59F6BFB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D0E53"/>
    <w:multiLevelType w:val="hybridMultilevel"/>
    <w:tmpl w:val="64AEC066"/>
    <w:lvl w:ilvl="0" w:tplc="B6E063A0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6250019C">
      <w:start w:val="3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Comic Sans MS" w:eastAsia="Times New Roman" w:hAnsi="Comic Sans MS" w:hint="default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53D55987"/>
    <w:multiLevelType w:val="hybridMultilevel"/>
    <w:tmpl w:val="0D5E1A54"/>
    <w:lvl w:ilvl="0" w:tplc="27287C88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F37345"/>
    <w:multiLevelType w:val="hybridMultilevel"/>
    <w:tmpl w:val="718C6D82"/>
    <w:lvl w:ilvl="0" w:tplc="BE2AEDF0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57036F"/>
    <w:multiLevelType w:val="hybridMultilevel"/>
    <w:tmpl w:val="69EABE9C"/>
    <w:lvl w:ilvl="0" w:tplc="E8E42798">
      <w:start w:val="2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w w:val="10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224"/>
    <w:rsid w:val="00097C8B"/>
    <w:rsid w:val="000F5C7A"/>
    <w:rsid w:val="001324D3"/>
    <w:rsid w:val="00184905"/>
    <w:rsid w:val="001B4C0E"/>
    <w:rsid w:val="0024274C"/>
    <w:rsid w:val="002B1B33"/>
    <w:rsid w:val="002F18F9"/>
    <w:rsid w:val="00311E6E"/>
    <w:rsid w:val="003664B8"/>
    <w:rsid w:val="003E5A27"/>
    <w:rsid w:val="00401F6D"/>
    <w:rsid w:val="00463BAD"/>
    <w:rsid w:val="00466B9A"/>
    <w:rsid w:val="004764C7"/>
    <w:rsid w:val="004767C6"/>
    <w:rsid w:val="004B1B5F"/>
    <w:rsid w:val="004F0E61"/>
    <w:rsid w:val="005175AC"/>
    <w:rsid w:val="00607D2A"/>
    <w:rsid w:val="00681878"/>
    <w:rsid w:val="006B77D9"/>
    <w:rsid w:val="006F4012"/>
    <w:rsid w:val="00894C45"/>
    <w:rsid w:val="008B436E"/>
    <w:rsid w:val="008C5C13"/>
    <w:rsid w:val="009173BF"/>
    <w:rsid w:val="00962EC3"/>
    <w:rsid w:val="0096339A"/>
    <w:rsid w:val="00991061"/>
    <w:rsid w:val="009D6049"/>
    <w:rsid w:val="00A43A05"/>
    <w:rsid w:val="00A46237"/>
    <w:rsid w:val="00A55D30"/>
    <w:rsid w:val="00A62C60"/>
    <w:rsid w:val="00A724F9"/>
    <w:rsid w:val="00A94AF2"/>
    <w:rsid w:val="00B017F6"/>
    <w:rsid w:val="00B3608E"/>
    <w:rsid w:val="00B44D1E"/>
    <w:rsid w:val="00B54DB2"/>
    <w:rsid w:val="00B73C27"/>
    <w:rsid w:val="00B97873"/>
    <w:rsid w:val="00BA7C6E"/>
    <w:rsid w:val="00BE7460"/>
    <w:rsid w:val="00C265DB"/>
    <w:rsid w:val="00C35C5C"/>
    <w:rsid w:val="00C978CA"/>
    <w:rsid w:val="00CC65AE"/>
    <w:rsid w:val="00CD7F60"/>
    <w:rsid w:val="00D476C3"/>
    <w:rsid w:val="00DB59E9"/>
    <w:rsid w:val="00E67910"/>
    <w:rsid w:val="00E80224"/>
    <w:rsid w:val="00F41C27"/>
    <w:rsid w:val="00FB3BF6"/>
    <w:rsid w:val="00FB58B4"/>
    <w:rsid w:val="00FE42A8"/>
    <w:rsid w:val="00FE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A4A0DD-4913-4101-A7B4-15149F59E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224"/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deliste1">
    <w:name w:val="Paragraphe de liste1"/>
    <w:basedOn w:val="Normal"/>
    <w:rsid w:val="00E80224"/>
    <w:pPr>
      <w:ind w:left="708"/>
    </w:pPr>
  </w:style>
  <w:style w:type="character" w:styleId="Lienhypertexte">
    <w:name w:val="Hyperlink"/>
    <w:basedOn w:val="Policepardfaut"/>
    <w:rsid w:val="00E80224"/>
    <w:rPr>
      <w:color w:val="0000FF"/>
      <w:u w:val="single"/>
    </w:rPr>
  </w:style>
  <w:style w:type="paragraph" w:styleId="Normalcentr">
    <w:name w:val="Block Text"/>
    <w:basedOn w:val="Normal"/>
    <w:rsid w:val="00E80224"/>
    <w:pPr>
      <w:ind w:left="851" w:right="992"/>
      <w:jc w:val="both"/>
    </w:pPr>
    <w:rPr>
      <w:sz w:val="22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8022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0224"/>
    <w:rPr>
      <w:rFonts w:ascii="Tahoma" w:eastAsia="Times New Roman" w:hAnsi="Tahoma" w:cs="Tahoma"/>
      <w:sz w:val="16"/>
      <w:szCs w:val="16"/>
      <w:lang w:eastAsia="fr-FR"/>
    </w:rPr>
  </w:style>
  <w:style w:type="paragraph" w:styleId="Corpsdetexte2">
    <w:name w:val="Body Text 2"/>
    <w:basedOn w:val="Normal"/>
    <w:link w:val="Corpsdetexte2Car"/>
    <w:rsid w:val="00C978CA"/>
    <w:pPr>
      <w:widowControl w:val="0"/>
    </w:pPr>
    <w:rPr>
      <w:snapToGrid w:val="0"/>
      <w:lang w:eastAsia="en-US"/>
    </w:rPr>
  </w:style>
  <w:style w:type="character" w:customStyle="1" w:styleId="Corpsdetexte2Car">
    <w:name w:val="Corps de texte 2 Car"/>
    <w:basedOn w:val="Policepardfaut"/>
    <w:link w:val="Corpsdetexte2"/>
    <w:rsid w:val="00C978CA"/>
    <w:rPr>
      <w:rFonts w:ascii="Times New Roman" w:eastAsia="Times New Roman" w:hAnsi="Times New Roman" w:cs="Times New Roman"/>
      <w:snapToGrid w:val="0"/>
      <w:sz w:val="24"/>
      <w:szCs w:val="24"/>
      <w:lang w:eastAsia="en-US"/>
    </w:rPr>
  </w:style>
  <w:style w:type="paragraph" w:styleId="En-tte">
    <w:name w:val="header"/>
    <w:basedOn w:val="Normal"/>
    <w:link w:val="En-tteCar"/>
    <w:uiPriority w:val="99"/>
    <w:semiHidden/>
    <w:unhideWhenUsed/>
    <w:rsid w:val="00C265D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265DB"/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C265D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265D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E739C-9B0C-4F47-AE55-1AB782FCF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uh2c</Company>
  <LinksUpToDate>false</LinksUpToDate>
  <CharactersWithSpaces>1580</CharactersWithSpaces>
  <SharedDoc>false</SharedDoc>
  <HLinks>
    <vt:vector size="6" baseType="variant">
      <vt:variant>
        <vt:i4>5963843</vt:i4>
      </vt:variant>
      <vt:variant>
        <vt:i4>0</vt:i4>
      </vt:variant>
      <vt:variant>
        <vt:i4>0</vt:i4>
      </vt:variant>
      <vt:variant>
        <vt:i4>5</vt:i4>
      </vt:variant>
      <vt:variant>
        <vt:lpwstr>http://www.marchespublics.gov.ma/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uh2c</dc:creator>
  <cp:lastModifiedBy>ENSET</cp:lastModifiedBy>
  <cp:revision>6</cp:revision>
  <cp:lastPrinted>2016-06-22T12:22:00Z</cp:lastPrinted>
  <dcterms:created xsi:type="dcterms:W3CDTF">2016-10-31T23:35:00Z</dcterms:created>
  <dcterms:modified xsi:type="dcterms:W3CDTF">2016-11-07T14:50:00Z</dcterms:modified>
</cp:coreProperties>
</file>