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Ind w:w="-318" w:type="dxa"/>
        <w:tblLook w:val="04A0" w:firstRow="1" w:lastRow="0" w:firstColumn="1" w:lastColumn="0" w:noHBand="0" w:noVBand="1"/>
      </w:tblPr>
      <w:tblGrid>
        <w:gridCol w:w="9530"/>
      </w:tblGrid>
      <w:tr w:rsidR="00313E02" w:rsidTr="00B83EE4">
        <w:trPr>
          <w:trHeight w:val="10565"/>
        </w:trPr>
        <w:tc>
          <w:tcPr>
            <w:tcW w:w="9530" w:type="dxa"/>
          </w:tcPr>
          <w:p w:rsidR="00313E02" w:rsidRPr="002E533B" w:rsidRDefault="00313E02" w:rsidP="00B83EE4">
            <w:pPr>
              <w:jc w:val="center"/>
              <w:rPr>
                <w:b/>
                <w:bCs/>
              </w:rPr>
            </w:pPr>
            <w:r w:rsidRPr="002E533B">
              <w:rPr>
                <w:b/>
                <w:bCs/>
              </w:rPr>
              <w:t>Avis d’appel d’offres ouvert N°</w:t>
            </w:r>
            <w:r w:rsidR="00A00A2E">
              <w:rPr>
                <w:b/>
                <w:bCs/>
              </w:rPr>
              <w:t>51</w:t>
            </w:r>
            <w:r>
              <w:rPr>
                <w:b/>
                <w:bCs/>
              </w:rPr>
              <w:t>IUH2C/2016</w:t>
            </w:r>
          </w:p>
          <w:p w:rsidR="00313E02" w:rsidRDefault="00313E02" w:rsidP="00B83EE4">
            <w:pPr>
              <w:jc w:val="center"/>
              <w:rPr>
                <w:b/>
                <w:bCs/>
              </w:rPr>
            </w:pPr>
            <w:r w:rsidRPr="00DC4D3A">
              <w:rPr>
                <w:b/>
                <w:bCs/>
              </w:rPr>
              <w:t>(Séance publique)</w:t>
            </w:r>
          </w:p>
          <w:p w:rsidR="00313E02" w:rsidRPr="00DC4D3A" w:rsidRDefault="00313E02" w:rsidP="00B83EE4">
            <w:pPr>
              <w:jc w:val="center"/>
              <w:rPr>
                <w:b/>
                <w:bCs/>
              </w:rPr>
            </w:pPr>
          </w:p>
          <w:p w:rsidR="00313E02" w:rsidRPr="009C336D" w:rsidRDefault="009E458A" w:rsidP="00D143F2">
            <w:pPr>
              <w:spacing w:after="120"/>
              <w:jc w:val="both"/>
            </w:pPr>
            <w:r w:rsidRPr="002E533B">
              <w:rPr>
                <w:b/>
                <w:bCs/>
              </w:rPr>
              <w:t xml:space="preserve">Le </w:t>
            </w:r>
            <w:r>
              <w:rPr>
                <w:rFonts w:hint="cs"/>
                <w:b/>
                <w:bCs/>
              </w:rPr>
              <w:t>Mercredi</w:t>
            </w:r>
            <w:r w:rsidR="00D143F2">
              <w:rPr>
                <w:b/>
                <w:bCs/>
              </w:rPr>
              <w:t xml:space="preserve"> </w:t>
            </w:r>
            <w:r w:rsidR="00A00A2E">
              <w:rPr>
                <w:b/>
                <w:bCs/>
              </w:rPr>
              <w:t>23</w:t>
            </w:r>
            <w:r w:rsidR="00313E02">
              <w:rPr>
                <w:b/>
                <w:bCs/>
              </w:rPr>
              <w:t xml:space="preserve"> </w:t>
            </w:r>
            <w:r w:rsidR="00D20D86">
              <w:rPr>
                <w:b/>
                <w:bCs/>
              </w:rPr>
              <w:t xml:space="preserve">Novembre </w:t>
            </w:r>
            <w:r w:rsidR="00D20D86" w:rsidRPr="002E533B">
              <w:rPr>
                <w:b/>
                <w:bCs/>
              </w:rPr>
              <w:t>2016</w:t>
            </w:r>
            <w:r w:rsidR="00313E02" w:rsidRPr="002E533B">
              <w:rPr>
                <w:b/>
                <w:bCs/>
              </w:rPr>
              <w:t xml:space="preserve"> à</w:t>
            </w:r>
            <w:r w:rsidR="00FA3DD7">
              <w:rPr>
                <w:b/>
                <w:bCs/>
              </w:rPr>
              <w:t xml:space="preserve"> 10</w:t>
            </w:r>
            <w:r w:rsidR="00313E02" w:rsidRPr="002E533B">
              <w:rPr>
                <w:b/>
                <w:bCs/>
              </w:rPr>
              <w:t>h00</w:t>
            </w:r>
            <w:r w:rsidR="00313E02" w:rsidRPr="002E533B">
              <w:t>, i</w:t>
            </w:r>
            <w:r w:rsidR="00313E02">
              <w:t>l sera procédé, au siège de la P</w:t>
            </w:r>
            <w:r w:rsidR="00313E02" w:rsidRPr="002E533B">
              <w:t xml:space="preserve">résidence de l’Université Hassan II de Casablanca, </w:t>
            </w:r>
            <w:r w:rsidR="00313E02">
              <w:t>Site Mohammedia sise à l’avenue Hassan II Mohammedia</w:t>
            </w:r>
            <w:r w:rsidR="00313E02" w:rsidRPr="002E533B">
              <w:t>, à l’ouverture des plis relatifs à l’appel d’offres sur offres de prix pour </w:t>
            </w:r>
            <w:r w:rsidR="00313E02" w:rsidRPr="002E533B">
              <w:rPr>
                <w:b/>
                <w:bCs/>
              </w:rPr>
              <w:t>:</w:t>
            </w:r>
          </w:p>
          <w:p w:rsidR="00A00A2E" w:rsidRDefault="00A00A2E" w:rsidP="00B83EE4">
            <w:pPr>
              <w:spacing w:line="360" w:lineRule="auto"/>
              <w:ind w:firstLine="567"/>
              <w:jc w:val="both"/>
              <w:rPr>
                <w:color w:val="222222"/>
                <w:sz w:val="18"/>
                <w:szCs w:val="18"/>
                <w:shd w:val="clear" w:color="auto" w:fill="FFFFFF"/>
              </w:rPr>
            </w:pPr>
            <w:r w:rsidRPr="00C27162">
              <w:rPr>
                <w:b/>
              </w:rPr>
              <w:t>Achat de matériel</w:t>
            </w:r>
            <w:r>
              <w:rPr>
                <w:b/>
              </w:rPr>
              <w:t>s</w:t>
            </w:r>
            <w:r w:rsidRPr="00C27162">
              <w:rPr>
                <w:b/>
              </w:rPr>
              <w:t xml:space="preserve"> </w:t>
            </w:r>
            <w:r>
              <w:rPr>
                <w:b/>
              </w:rPr>
              <w:t xml:space="preserve">scientifiques </w:t>
            </w:r>
            <w:r w:rsidRPr="00C27162">
              <w:rPr>
                <w:b/>
              </w:rPr>
              <w:t xml:space="preserve">pour </w:t>
            </w:r>
            <w:r>
              <w:rPr>
                <w:b/>
              </w:rPr>
              <w:t xml:space="preserve">l’Ecole Normale </w:t>
            </w:r>
            <w:r w:rsidR="00100623">
              <w:rPr>
                <w:b/>
              </w:rPr>
              <w:t>Supérieure</w:t>
            </w:r>
            <w:r>
              <w:rPr>
                <w:b/>
              </w:rPr>
              <w:t xml:space="preserve"> de L’Enseignement Technique Mohammedia </w:t>
            </w:r>
            <w:r w:rsidRPr="00C27162">
              <w:rPr>
                <w:b/>
              </w:rPr>
              <w:t xml:space="preserve">relevant de l’université HASSAN II </w:t>
            </w:r>
            <w:r>
              <w:rPr>
                <w:b/>
              </w:rPr>
              <w:t xml:space="preserve">de </w:t>
            </w:r>
            <w:r w:rsidRPr="00C27162">
              <w:rPr>
                <w:b/>
              </w:rPr>
              <w:t xml:space="preserve">Casablanca au </w:t>
            </w:r>
            <w:r>
              <w:rPr>
                <w:b/>
              </w:rPr>
              <w:t xml:space="preserve">titre de l’année budgétaire 2016 en lot Unique </w:t>
            </w:r>
          </w:p>
          <w:p w:rsidR="00A00A2E" w:rsidRDefault="00A00A2E" w:rsidP="00B83EE4">
            <w:pPr>
              <w:rPr>
                <w:color w:val="222222"/>
                <w:sz w:val="18"/>
                <w:szCs w:val="18"/>
                <w:shd w:val="clear" w:color="auto" w:fill="FFFFFF"/>
              </w:rPr>
            </w:pPr>
          </w:p>
          <w:p w:rsidR="009417E6" w:rsidRPr="00054575" w:rsidRDefault="00313E02" w:rsidP="00B83EE4">
            <w:pPr>
              <w:tabs>
                <w:tab w:val="left" w:pos="426"/>
              </w:tabs>
              <w:spacing w:line="360" w:lineRule="auto"/>
              <w:jc w:val="both"/>
              <w:rPr>
                <w:b/>
                <w:bCs/>
              </w:rPr>
            </w:pPr>
            <w:r w:rsidRPr="002E533B">
              <w:rPr>
                <w:lang w:bidi="ar-MA"/>
              </w:rPr>
              <w:t>Le dossier d’appel d’offres peut être retiré au service des affaires éc</w:t>
            </w:r>
            <w:r w:rsidR="003B3076">
              <w:rPr>
                <w:lang w:bidi="ar-MA"/>
              </w:rPr>
              <w:t>onomiques et financières de l’ENSET</w:t>
            </w:r>
            <w:r>
              <w:rPr>
                <w:lang w:bidi="ar-MA"/>
              </w:rPr>
              <w:t xml:space="preserve"> Mohammedia</w:t>
            </w:r>
            <w:r w:rsidR="00D20D86">
              <w:rPr>
                <w:lang w:bidi="ar-MA"/>
              </w:rPr>
              <w:t xml:space="preserve"> sise </w:t>
            </w:r>
            <w:r w:rsidR="00D20D86" w:rsidRPr="002E533B">
              <w:rPr>
                <w:lang w:bidi="ar-MA"/>
              </w:rPr>
              <w:t>à</w:t>
            </w:r>
            <w:r w:rsidRPr="002E533B">
              <w:rPr>
                <w:lang w:bidi="ar-MA"/>
              </w:rPr>
              <w:t xml:space="preserve"> </w:t>
            </w:r>
            <w:r w:rsidR="0034583A" w:rsidRPr="00D20D86">
              <w:rPr>
                <w:lang w:bidi="ar-MA"/>
              </w:rPr>
              <w:t>Av. Hassan II - B.P. 159 - Mohammedia</w:t>
            </w:r>
            <w:r w:rsidRPr="002E533B">
              <w:rPr>
                <w:lang w:bidi="ar-MA"/>
              </w:rPr>
              <w:t>. Il peut aussi être téléchargé sur le portail des marchés de l’Etat</w:t>
            </w:r>
            <w:r>
              <w:rPr>
                <w:lang w:bidi="ar-MA"/>
              </w:rPr>
              <w:t>.</w:t>
            </w:r>
            <w:r w:rsidR="00D20D86">
              <w:rPr>
                <w:lang w:bidi="ar-MA"/>
              </w:rPr>
              <w:t> </w:t>
            </w:r>
            <w:r w:rsidR="00D20D86">
              <w:t xml:space="preserve">: </w:t>
            </w:r>
            <w:r w:rsidR="00054575" w:rsidRPr="00054575">
              <w:rPr>
                <w:b/>
                <w:bCs/>
              </w:rPr>
              <w:t>www.marchéspublics.gov.ma</w:t>
            </w:r>
            <w:r w:rsidR="00054575" w:rsidRPr="00054575">
              <w:t xml:space="preserve"> </w:t>
            </w:r>
            <w:r w:rsidR="00D20D86">
              <w:rPr>
                <w:b/>
                <w:bCs/>
              </w:rPr>
              <w:t>ou sur le site offi</w:t>
            </w:r>
            <w:r w:rsidR="00054575">
              <w:rPr>
                <w:b/>
                <w:bCs/>
              </w:rPr>
              <w:t>ciel</w:t>
            </w:r>
            <w:r w:rsidR="00A54769">
              <w:rPr>
                <w:b/>
                <w:bCs/>
              </w:rPr>
              <w:t xml:space="preserve"> de l’ENSET</w:t>
            </w:r>
            <w:r w:rsidR="009417E6">
              <w:rPr>
                <w:b/>
                <w:bCs/>
              </w:rPr>
              <w:t xml:space="preserve"> </w:t>
            </w:r>
            <w:r w:rsidR="009417E6" w:rsidRPr="00054575">
              <w:rPr>
                <w:b/>
                <w:bCs/>
              </w:rPr>
              <w:t>www.enset-media.ac.ma/enset/appels-d-offres</w:t>
            </w:r>
          </w:p>
          <w:p w:rsidR="00313E02" w:rsidRPr="00D20D86" w:rsidRDefault="00313E02" w:rsidP="00B83EE4">
            <w:pPr>
              <w:tabs>
                <w:tab w:val="left" w:pos="540"/>
              </w:tabs>
              <w:jc w:val="both"/>
              <w:rPr>
                <w:b/>
                <w:bCs/>
                <w:sz w:val="24"/>
                <w:szCs w:val="24"/>
                <w:lang w:bidi="ar-MA"/>
              </w:rPr>
            </w:pPr>
          </w:p>
          <w:p w:rsidR="00313E02" w:rsidRPr="002E533B" w:rsidRDefault="00313E02" w:rsidP="00165E85">
            <w:pPr>
              <w:tabs>
                <w:tab w:val="left" w:pos="540"/>
              </w:tabs>
              <w:jc w:val="both"/>
              <w:rPr>
                <w:b/>
                <w:bCs/>
                <w:lang w:bidi="ar-MA"/>
              </w:rPr>
            </w:pPr>
            <w:r w:rsidRPr="002E533B">
              <w:rPr>
                <w:b/>
                <w:bCs/>
                <w:lang w:bidi="ar-MA"/>
              </w:rPr>
              <w:t>Le monta</w:t>
            </w:r>
            <w:r>
              <w:rPr>
                <w:b/>
                <w:bCs/>
                <w:lang w:bidi="ar-MA"/>
              </w:rPr>
              <w:t xml:space="preserve">nt de cautionnement provisoire est </w:t>
            </w:r>
            <w:r w:rsidRPr="002E533B">
              <w:rPr>
                <w:b/>
                <w:bCs/>
                <w:lang w:bidi="ar-MA"/>
              </w:rPr>
              <w:t>fixé à :</w:t>
            </w:r>
            <w:r>
              <w:rPr>
                <w:b/>
                <w:bCs/>
                <w:lang w:bidi="ar-MA"/>
              </w:rPr>
              <w:t xml:space="preserve"> </w:t>
            </w:r>
            <w:r w:rsidR="008004D8">
              <w:rPr>
                <w:b/>
                <w:bCs/>
                <w:lang w:bidi="ar-MA"/>
              </w:rPr>
              <w:t>25 </w:t>
            </w:r>
            <w:r w:rsidR="00165E85">
              <w:rPr>
                <w:b/>
                <w:bCs/>
                <w:lang w:bidi="ar-MA"/>
              </w:rPr>
              <w:t>500</w:t>
            </w:r>
            <w:r w:rsidR="008004D8">
              <w:rPr>
                <w:b/>
                <w:bCs/>
                <w:lang w:bidi="ar-MA"/>
              </w:rPr>
              <w:t>,00</w:t>
            </w:r>
            <w:r w:rsidRPr="002E533B">
              <w:rPr>
                <w:b/>
                <w:bCs/>
              </w:rPr>
              <w:t xml:space="preserve"> dhs </w:t>
            </w:r>
          </w:p>
          <w:p w:rsidR="00313E02" w:rsidRPr="00A00D09" w:rsidRDefault="00313E02" w:rsidP="00B83EE4">
            <w:pPr>
              <w:jc w:val="both"/>
              <w:rPr>
                <w:rFonts w:eastAsia="Calibri"/>
                <w:bCs/>
                <w:iCs/>
                <w:sz w:val="24"/>
                <w:szCs w:val="24"/>
              </w:rPr>
            </w:pPr>
            <w:r w:rsidRPr="002E533B">
              <w:rPr>
                <w:b/>
                <w:bCs/>
              </w:rPr>
              <w:t>L’estimation du coût de la prestation est fixée à :</w:t>
            </w:r>
            <w:r w:rsidRPr="002E533B">
              <w:rPr>
                <w:rFonts w:eastAsia="Calibri"/>
                <w:bCs/>
                <w:iCs/>
              </w:rPr>
              <w:t xml:space="preserve"> </w:t>
            </w:r>
            <w:bookmarkStart w:id="0" w:name="_GoBack"/>
            <w:r w:rsidR="00165E85">
              <w:rPr>
                <w:rFonts w:eastAsiaTheme="minorHAnsi"/>
                <w:b/>
                <w:bCs/>
                <w:color w:val="000000"/>
                <w:lang w:eastAsia="en-US"/>
              </w:rPr>
              <w:t>1 696 673,40</w:t>
            </w:r>
            <w:r w:rsidRPr="00A134C3">
              <w:rPr>
                <w:b/>
                <w:bCs/>
              </w:rPr>
              <w:t xml:space="preserve"> </w:t>
            </w:r>
            <w:bookmarkEnd w:id="0"/>
            <w:r w:rsidRPr="00A134C3">
              <w:rPr>
                <w:b/>
                <w:bCs/>
              </w:rPr>
              <w:t>Dhs TTC</w:t>
            </w:r>
          </w:p>
          <w:p w:rsidR="00313E02" w:rsidRPr="008A7A14" w:rsidRDefault="00313E02" w:rsidP="00B83EE4">
            <w:pPr>
              <w:spacing w:after="120"/>
              <w:jc w:val="both"/>
              <w:rPr>
                <w:color w:val="000000" w:themeColor="text1"/>
                <w:sz w:val="24"/>
                <w:szCs w:val="24"/>
              </w:rPr>
            </w:pPr>
            <w:r w:rsidRPr="002E533B">
              <w:rPr>
                <w:color w:val="000000" w:themeColor="text1"/>
              </w:rPr>
              <w:t xml:space="preserve">Le contenu, la présentation ainsi que le dépôt des dossiers des concurrents doivent être conformes aux dispositions des articles 27, 29 et 31 du Règlement relatif aux conditions et formes de passation des marchés de l’Université Hassan II </w:t>
            </w:r>
            <w:r>
              <w:rPr>
                <w:color w:val="000000" w:themeColor="text1"/>
              </w:rPr>
              <w:t xml:space="preserve">de </w:t>
            </w:r>
            <w:r w:rsidRPr="002E533B">
              <w:rPr>
                <w:color w:val="000000" w:themeColor="text1"/>
              </w:rPr>
              <w:t>Casablanca.</w:t>
            </w:r>
          </w:p>
          <w:p w:rsidR="00313E02" w:rsidRPr="002E533B" w:rsidRDefault="00313E02" w:rsidP="00B83EE4">
            <w:pPr>
              <w:tabs>
                <w:tab w:val="left" w:pos="540"/>
              </w:tabs>
              <w:jc w:val="both"/>
              <w:rPr>
                <w:lang w:bidi="ar-MA"/>
              </w:rPr>
            </w:pPr>
            <w:r>
              <w:rPr>
                <w:b/>
                <w:bCs/>
                <w:lang w:bidi="ar-MA"/>
              </w:rPr>
              <w:t xml:space="preserve">Les </w:t>
            </w:r>
            <w:r w:rsidRPr="002E533B">
              <w:rPr>
                <w:b/>
                <w:bCs/>
                <w:lang w:bidi="ar-MA"/>
              </w:rPr>
              <w:t>concurrents peuvent</w:t>
            </w:r>
            <w:r w:rsidRPr="002E533B">
              <w:rPr>
                <w:lang w:bidi="ar-MA"/>
              </w:rPr>
              <w:t> :</w:t>
            </w:r>
          </w:p>
          <w:p w:rsidR="00313E02" w:rsidRPr="002E533B" w:rsidRDefault="00313E02" w:rsidP="00B83EE4">
            <w:pPr>
              <w:numPr>
                <w:ilvl w:val="0"/>
                <w:numId w:val="5"/>
              </w:numPr>
              <w:tabs>
                <w:tab w:val="left" w:pos="180"/>
                <w:tab w:val="left" w:pos="360"/>
                <w:tab w:val="num" w:pos="540"/>
                <w:tab w:val="left" w:pos="900"/>
              </w:tabs>
              <w:ind w:left="0" w:firstLine="540"/>
              <w:jc w:val="both"/>
            </w:pPr>
            <w:r w:rsidRPr="002E533B">
              <w:t xml:space="preserve">Soit déposer, contre récépissé, leurs plis auprès du service </w:t>
            </w:r>
            <w:r w:rsidRPr="002E533B">
              <w:rPr>
                <w:lang w:bidi="ar-MA"/>
              </w:rPr>
              <w:t>des affaires éc</w:t>
            </w:r>
            <w:r>
              <w:rPr>
                <w:lang w:bidi="ar-MA"/>
              </w:rPr>
              <w:t xml:space="preserve">onomiques et financières </w:t>
            </w:r>
            <w:r w:rsidR="00F14AF2">
              <w:rPr>
                <w:lang w:bidi="ar-MA"/>
              </w:rPr>
              <w:t>l’ENSET Mohammedia</w:t>
            </w:r>
            <w:r w:rsidRPr="002E533B">
              <w:t> ;</w:t>
            </w:r>
          </w:p>
          <w:p w:rsidR="00313E02" w:rsidRPr="002E533B" w:rsidRDefault="00313E02" w:rsidP="00B83EE4">
            <w:pPr>
              <w:numPr>
                <w:ilvl w:val="0"/>
                <w:numId w:val="5"/>
              </w:numPr>
              <w:tabs>
                <w:tab w:val="left" w:pos="180"/>
                <w:tab w:val="left" w:pos="360"/>
                <w:tab w:val="num" w:pos="540"/>
                <w:tab w:val="left" w:pos="900"/>
              </w:tabs>
              <w:ind w:left="0" w:firstLine="540"/>
              <w:jc w:val="both"/>
            </w:pPr>
            <w:r w:rsidRPr="002E533B">
              <w:t>Soit l’envoyer, par courrier recommandé avec accusé de réception au service précité ;</w:t>
            </w:r>
          </w:p>
          <w:p w:rsidR="00313E02" w:rsidRPr="002E533B" w:rsidRDefault="00313E02" w:rsidP="00B83EE4">
            <w:pPr>
              <w:numPr>
                <w:ilvl w:val="0"/>
                <w:numId w:val="5"/>
              </w:numPr>
              <w:tabs>
                <w:tab w:val="left" w:pos="180"/>
                <w:tab w:val="left" w:pos="540"/>
                <w:tab w:val="left" w:pos="900"/>
              </w:tabs>
              <w:ind w:left="540" w:firstLine="0"/>
              <w:jc w:val="both"/>
            </w:pPr>
            <w:r w:rsidRPr="002E533B">
              <w:t>Soit les remettre au Président de la commission d’appel d’offres au début de la séance, et avant l’ouverture des plis.</w:t>
            </w:r>
          </w:p>
          <w:p w:rsidR="00313E02" w:rsidRDefault="00313E02" w:rsidP="004B6305">
            <w:pPr>
              <w:tabs>
                <w:tab w:val="left" w:pos="0"/>
                <w:tab w:val="left" w:pos="540"/>
              </w:tabs>
              <w:ind w:right="-2"/>
              <w:jc w:val="both"/>
              <w:rPr>
                <w:color w:val="000000" w:themeColor="text1"/>
                <w:lang w:bidi="ar-MA"/>
              </w:rPr>
            </w:pPr>
            <w:r w:rsidRPr="002E533B">
              <w:rPr>
                <w:color w:val="000000" w:themeColor="text1"/>
                <w:lang w:bidi="ar-MA"/>
              </w:rPr>
              <w:tab/>
              <w:t>Les pièces justificatives à fournir par les concurrents sont ceux listé</w:t>
            </w:r>
            <w:r>
              <w:rPr>
                <w:color w:val="000000" w:themeColor="text1"/>
                <w:lang w:bidi="ar-MA"/>
              </w:rPr>
              <w:t>e</w:t>
            </w:r>
            <w:r w:rsidRPr="002E533B">
              <w:rPr>
                <w:color w:val="000000" w:themeColor="text1"/>
                <w:lang w:bidi="ar-MA"/>
              </w:rPr>
              <w:t xml:space="preserve">s à l’article </w:t>
            </w:r>
            <w:r w:rsidR="004B6305" w:rsidRPr="004B6305">
              <w:rPr>
                <w:b/>
                <w:bCs/>
                <w:color w:val="000000" w:themeColor="text1"/>
                <w:lang w:bidi="ar-MA"/>
              </w:rPr>
              <w:t>6</w:t>
            </w:r>
            <w:r w:rsidR="004B6305" w:rsidRPr="004B6305">
              <w:rPr>
                <w:b/>
                <w:bCs/>
                <w:color w:val="000000" w:themeColor="text1"/>
                <w:sz w:val="36"/>
                <w:szCs w:val="36"/>
                <w:lang w:bidi="ar-MA"/>
              </w:rPr>
              <w:t xml:space="preserve"> </w:t>
            </w:r>
            <w:r w:rsidR="004B6305" w:rsidRPr="004B6305">
              <w:rPr>
                <w:color w:val="000000" w:themeColor="text1"/>
                <w:lang w:bidi="ar-MA"/>
              </w:rPr>
              <w:t>du</w:t>
            </w:r>
            <w:r w:rsidRPr="002E533B">
              <w:rPr>
                <w:color w:val="000000" w:themeColor="text1"/>
                <w:lang w:bidi="ar-MA"/>
              </w:rPr>
              <w:t xml:space="preserve"> règlement de la consultation relatif au présent appel d’offres.</w:t>
            </w:r>
          </w:p>
          <w:p w:rsidR="00F22E0F" w:rsidRDefault="00F22E0F" w:rsidP="00B83EE4">
            <w:pPr>
              <w:ind w:hanging="426"/>
              <w:jc w:val="both"/>
              <w:rPr>
                <w:color w:val="000000" w:themeColor="text1"/>
                <w:lang w:bidi="ar-MA"/>
              </w:rPr>
            </w:pPr>
            <w:r w:rsidRPr="00CE7483">
              <w:rPr>
                <w:rFonts w:asciiTheme="majorBidi" w:hAnsiTheme="majorBidi" w:cstheme="majorBidi"/>
                <w:b/>
              </w:rPr>
              <w:t xml:space="preserve">Les </w:t>
            </w:r>
            <w:r>
              <w:rPr>
                <w:rFonts w:asciiTheme="majorBidi" w:hAnsiTheme="majorBidi" w:cstheme="majorBidi"/>
                <w:b/>
              </w:rPr>
              <w:t>les entreprises</w:t>
            </w:r>
            <w:r w:rsidRPr="00F22E0F">
              <w:rPr>
                <w:color w:val="000000" w:themeColor="text1"/>
                <w:lang w:bidi="ar-MA"/>
              </w:rPr>
              <w:t xml:space="preserve"> non installés au Maroc doivent fournir le dossier technique tel que prévu par le règlement de consultation.</w:t>
            </w:r>
          </w:p>
          <w:p w:rsidR="00F22E0F" w:rsidRDefault="00F22E0F" w:rsidP="00B83EE4">
            <w:pPr>
              <w:ind w:hanging="426"/>
              <w:jc w:val="both"/>
              <w:rPr>
                <w:color w:val="000000" w:themeColor="text1"/>
                <w:lang w:bidi="ar-MA"/>
              </w:rPr>
            </w:pPr>
          </w:p>
          <w:p w:rsidR="00313E02" w:rsidRPr="00B83EE4" w:rsidRDefault="00F22E0F" w:rsidP="00B04BE2">
            <w:pPr>
              <w:spacing w:line="276" w:lineRule="auto"/>
              <w:ind w:left="34" w:right="-76"/>
              <w:jc w:val="both"/>
              <w:rPr>
                <w:rFonts w:asciiTheme="majorBidi" w:hAnsiTheme="majorBidi" w:cstheme="majorBidi"/>
                <w:b/>
              </w:rPr>
            </w:pPr>
            <w:r w:rsidRPr="00FF165C">
              <w:rPr>
                <w:rFonts w:asciiTheme="majorBidi" w:hAnsiTheme="majorBidi" w:cstheme="majorBidi"/>
                <w:b/>
              </w:rPr>
              <w:t xml:space="preserve">La documentation et les prospectus techniques exigés par le dossier d’appel d’offres </w:t>
            </w:r>
            <w:r>
              <w:rPr>
                <w:rFonts w:asciiTheme="majorBidi" w:hAnsiTheme="majorBidi" w:cstheme="majorBidi"/>
                <w:b/>
              </w:rPr>
              <w:t xml:space="preserve"> </w:t>
            </w:r>
            <w:r w:rsidRPr="00FF165C">
              <w:rPr>
                <w:rFonts w:asciiTheme="majorBidi" w:hAnsiTheme="majorBidi" w:cstheme="majorBidi"/>
                <w:b/>
              </w:rPr>
              <w:t xml:space="preserve">doivent être déposés au niveau du bureau du service économique de </w:t>
            </w:r>
            <w:r w:rsidR="00C24DB8">
              <w:rPr>
                <w:rFonts w:asciiTheme="majorBidi" w:hAnsiTheme="majorBidi" w:cstheme="majorBidi"/>
                <w:b/>
              </w:rPr>
              <w:t>l’ENSET Mohammedia</w:t>
            </w:r>
            <w:r w:rsidRPr="00FF165C">
              <w:rPr>
                <w:rFonts w:asciiTheme="majorBidi" w:hAnsiTheme="majorBidi" w:cstheme="majorBidi"/>
                <w:b/>
              </w:rPr>
              <w:t xml:space="preserve"> contre délivrance d'un accusé de </w:t>
            </w:r>
            <w:r w:rsidR="00100623" w:rsidRPr="00FF165C">
              <w:rPr>
                <w:rFonts w:asciiTheme="majorBidi" w:hAnsiTheme="majorBidi" w:cstheme="majorBidi"/>
                <w:b/>
              </w:rPr>
              <w:t>réception</w:t>
            </w:r>
            <w:r w:rsidR="00100623" w:rsidRPr="00E544DF">
              <w:rPr>
                <w:rFonts w:asciiTheme="majorBidi" w:hAnsiTheme="majorBidi" w:cstheme="majorBidi"/>
                <w:b/>
              </w:rPr>
              <w:t xml:space="preserve"> </w:t>
            </w:r>
            <w:r w:rsidR="00100623">
              <w:rPr>
                <w:rFonts w:asciiTheme="majorBidi" w:hAnsiTheme="majorBidi" w:cstheme="majorBidi"/>
                <w:b/>
              </w:rPr>
              <w:t>le</w:t>
            </w:r>
            <w:r>
              <w:rPr>
                <w:rFonts w:asciiTheme="majorBidi" w:hAnsiTheme="majorBidi" w:cstheme="majorBidi"/>
                <w:b/>
              </w:rPr>
              <w:t xml:space="preserve"> </w:t>
            </w:r>
            <w:r w:rsidR="00100623">
              <w:rPr>
                <w:rFonts w:asciiTheme="majorBidi" w:hAnsiTheme="majorBidi" w:cstheme="majorBidi"/>
                <w:b/>
              </w:rPr>
              <w:t>Mardi 22 Novembre 2016 avant 16</w:t>
            </w:r>
            <w:r w:rsidRPr="00E544DF">
              <w:rPr>
                <w:rFonts w:asciiTheme="majorBidi" w:hAnsiTheme="majorBidi" w:cstheme="majorBidi"/>
                <w:b/>
              </w:rPr>
              <w:t xml:space="preserve"> h</w:t>
            </w:r>
            <w:r>
              <w:rPr>
                <w:rFonts w:asciiTheme="majorBidi" w:hAnsiTheme="majorBidi" w:cstheme="majorBidi"/>
                <w:b/>
              </w:rPr>
              <w:t>eures.</w:t>
            </w:r>
            <w:r w:rsidRPr="00E544DF">
              <w:rPr>
                <w:rFonts w:ascii="Cambria" w:hAnsi="Cambria" w:cs="Arial"/>
              </w:rPr>
              <w:t xml:space="preserve"> </w:t>
            </w:r>
            <w:r>
              <w:rPr>
                <w:rFonts w:ascii="Cambria" w:hAnsi="Cambria" w:cs="Arial"/>
                <w:sz w:val="18"/>
                <w:szCs w:val="18"/>
              </w:rPr>
              <w:t>(Heure limite pour le dépôt de la documentation et les prospectus techniques</w:t>
            </w:r>
            <w:r w:rsidRPr="00E544DF">
              <w:rPr>
                <w:rFonts w:ascii="Cambria" w:hAnsi="Cambria" w:cs="Arial"/>
                <w:sz w:val="18"/>
                <w:szCs w:val="18"/>
              </w:rPr>
              <w:t>)</w:t>
            </w:r>
          </w:p>
        </w:tc>
      </w:tr>
    </w:tbl>
    <w:p w:rsidR="008A7A14" w:rsidRPr="002E533B" w:rsidRDefault="008A7A14" w:rsidP="0032419F">
      <w:pPr>
        <w:contextualSpacing/>
      </w:pPr>
    </w:p>
    <w:sectPr w:rsidR="008A7A14" w:rsidRPr="002E533B" w:rsidSect="00B9632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E16" w:rsidRDefault="00FD2E16" w:rsidP="0032419F">
      <w:r>
        <w:separator/>
      </w:r>
    </w:p>
  </w:endnote>
  <w:endnote w:type="continuationSeparator" w:id="0">
    <w:p w:rsidR="00FD2E16" w:rsidRDefault="00FD2E16" w:rsidP="0032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E16" w:rsidRDefault="00FD2E16" w:rsidP="0032419F">
      <w:r>
        <w:separator/>
      </w:r>
    </w:p>
  </w:footnote>
  <w:footnote w:type="continuationSeparator" w:id="0">
    <w:p w:rsidR="00FD2E16" w:rsidRDefault="00FD2E16" w:rsidP="00324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9F" w:rsidRDefault="0032419F">
    <w:pPr>
      <w:pStyle w:val="En-tte"/>
    </w:pPr>
    <w:r w:rsidRPr="0032419F">
      <w:rPr>
        <w:noProof/>
      </w:rPr>
      <w:drawing>
        <wp:anchor distT="0" distB="0" distL="114300" distR="114300" simplePos="0" relativeHeight="251659264" behindDoc="0" locked="0" layoutInCell="1" allowOverlap="1">
          <wp:simplePos x="0" y="0"/>
          <wp:positionH relativeFrom="column">
            <wp:posOffset>-90170</wp:posOffset>
          </wp:positionH>
          <wp:positionV relativeFrom="paragraph">
            <wp:posOffset>-363855</wp:posOffset>
          </wp:positionV>
          <wp:extent cx="6629400" cy="1028700"/>
          <wp:effectExtent l="19050" t="0" r="0" b="0"/>
          <wp:wrapTight wrapText="bothSides">
            <wp:wrapPolygon edited="0">
              <wp:start x="-62" y="0"/>
              <wp:lineTo x="-62" y="21200"/>
              <wp:lineTo x="21600" y="21200"/>
              <wp:lineTo x="21600" y="0"/>
              <wp:lineTo x="-62" y="0"/>
            </wp:wrapPolygon>
          </wp:wrapTight>
          <wp:docPr id="57" name="Image 1" descr="DISK IMAC:Users:apple:Desktop:Entête 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K IMAC:Users:apple:Desktop:Entête hau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0" cy="10287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F0130"/>
    <w:multiLevelType w:val="singleLevel"/>
    <w:tmpl w:val="2B3E6714"/>
    <w:lvl w:ilvl="0">
      <w:start w:val="1"/>
      <w:numFmt w:val="lowerLetter"/>
      <w:lvlText w:val="%1-"/>
      <w:lvlJc w:val="left"/>
      <w:pPr>
        <w:tabs>
          <w:tab w:val="num" w:pos="1065"/>
        </w:tabs>
        <w:ind w:left="1065" w:hanging="360"/>
      </w:pPr>
      <w:rPr>
        <w:rFonts w:hint="default"/>
        <w:b/>
        <w:bCs/>
        <w:color w:val="auto"/>
      </w:rPr>
    </w:lvl>
  </w:abstractNum>
  <w:abstractNum w:abstractNumId="1" w15:restartNumberingAfterBreak="0">
    <w:nsid w:val="121A32BC"/>
    <w:multiLevelType w:val="hybridMultilevel"/>
    <w:tmpl w:val="DE087AB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1EA96693"/>
    <w:multiLevelType w:val="singleLevel"/>
    <w:tmpl w:val="EA405026"/>
    <w:lvl w:ilvl="0">
      <w:start w:val="1"/>
      <w:numFmt w:val="lowerLetter"/>
      <w:lvlText w:val="%1-"/>
      <w:lvlJc w:val="left"/>
      <w:pPr>
        <w:tabs>
          <w:tab w:val="num" w:pos="1065"/>
        </w:tabs>
        <w:ind w:left="1065" w:hanging="360"/>
      </w:pPr>
      <w:rPr>
        <w:rFonts w:hint="default"/>
      </w:rPr>
    </w:lvl>
  </w:abstractNum>
  <w:abstractNum w:abstractNumId="3" w15:restartNumberingAfterBreak="0">
    <w:nsid w:val="22CB6F73"/>
    <w:multiLevelType w:val="hybridMultilevel"/>
    <w:tmpl w:val="9DD6AC46"/>
    <w:lvl w:ilvl="0" w:tplc="FD44BA7C">
      <w:start w:val="1"/>
      <w:numFmt w:val="lowerLetter"/>
      <w:lvlText w:val="%1-"/>
      <w:lvlJc w:val="left"/>
      <w:pPr>
        <w:tabs>
          <w:tab w:val="num" w:pos="1065"/>
        </w:tabs>
        <w:ind w:left="1065" w:hanging="360"/>
      </w:pPr>
      <w:rPr>
        <w:rFonts w:hint="default"/>
        <w:b/>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4" w15:restartNumberingAfterBreak="0">
    <w:nsid w:val="23F47CDF"/>
    <w:multiLevelType w:val="hybridMultilevel"/>
    <w:tmpl w:val="A71ED1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6B7DD4"/>
    <w:multiLevelType w:val="hybridMultilevel"/>
    <w:tmpl w:val="790C55A0"/>
    <w:lvl w:ilvl="0" w:tplc="040C000B">
      <w:start w:val="1"/>
      <w:numFmt w:val="bullet"/>
      <w:lvlText w:val=""/>
      <w:lvlJc w:val="left"/>
      <w:pPr>
        <w:tabs>
          <w:tab w:val="num" w:pos="1637"/>
        </w:tabs>
        <w:ind w:left="1637" w:hanging="360"/>
      </w:pPr>
      <w:rPr>
        <w:rFonts w:ascii="Wingdings" w:hAnsi="Wingdings" w:hint="default"/>
      </w:rPr>
    </w:lvl>
    <w:lvl w:ilvl="1" w:tplc="040C0003" w:tentative="1">
      <w:start w:val="1"/>
      <w:numFmt w:val="bullet"/>
      <w:lvlText w:val="o"/>
      <w:lvlJc w:val="left"/>
      <w:pPr>
        <w:tabs>
          <w:tab w:val="num" w:pos="1586"/>
        </w:tabs>
        <w:ind w:left="1586" w:hanging="360"/>
      </w:pPr>
      <w:rPr>
        <w:rFonts w:ascii="Courier New" w:hAnsi="Courier New" w:cs="Courier New" w:hint="default"/>
      </w:rPr>
    </w:lvl>
    <w:lvl w:ilvl="2" w:tplc="040C0005" w:tentative="1">
      <w:start w:val="1"/>
      <w:numFmt w:val="bullet"/>
      <w:lvlText w:val=""/>
      <w:lvlJc w:val="left"/>
      <w:pPr>
        <w:tabs>
          <w:tab w:val="num" w:pos="2306"/>
        </w:tabs>
        <w:ind w:left="2306" w:hanging="360"/>
      </w:pPr>
      <w:rPr>
        <w:rFonts w:ascii="Wingdings" w:hAnsi="Wingdings" w:hint="default"/>
      </w:rPr>
    </w:lvl>
    <w:lvl w:ilvl="3" w:tplc="040C0001" w:tentative="1">
      <w:start w:val="1"/>
      <w:numFmt w:val="bullet"/>
      <w:lvlText w:val=""/>
      <w:lvlJc w:val="left"/>
      <w:pPr>
        <w:tabs>
          <w:tab w:val="num" w:pos="3026"/>
        </w:tabs>
        <w:ind w:left="3026" w:hanging="360"/>
      </w:pPr>
      <w:rPr>
        <w:rFonts w:ascii="Symbol" w:hAnsi="Symbol" w:hint="default"/>
      </w:rPr>
    </w:lvl>
    <w:lvl w:ilvl="4" w:tplc="040C0003" w:tentative="1">
      <w:start w:val="1"/>
      <w:numFmt w:val="bullet"/>
      <w:lvlText w:val="o"/>
      <w:lvlJc w:val="left"/>
      <w:pPr>
        <w:tabs>
          <w:tab w:val="num" w:pos="3746"/>
        </w:tabs>
        <w:ind w:left="3746" w:hanging="360"/>
      </w:pPr>
      <w:rPr>
        <w:rFonts w:ascii="Courier New" w:hAnsi="Courier New" w:cs="Courier New" w:hint="default"/>
      </w:rPr>
    </w:lvl>
    <w:lvl w:ilvl="5" w:tplc="040C0005" w:tentative="1">
      <w:start w:val="1"/>
      <w:numFmt w:val="bullet"/>
      <w:lvlText w:val=""/>
      <w:lvlJc w:val="left"/>
      <w:pPr>
        <w:tabs>
          <w:tab w:val="num" w:pos="4466"/>
        </w:tabs>
        <w:ind w:left="4466" w:hanging="360"/>
      </w:pPr>
      <w:rPr>
        <w:rFonts w:ascii="Wingdings" w:hAnsi="Wingdings" w:hint="default"/>
      </w:rPr>
    </w:lvl>
    <w:lvl w:ilvl="6" w:tplc="040C0001" w:tentative="1">
      <w:start w:val="1"/>
      <w:numFmt w:val="bullet"/>
      <w:lvlText w:val=""/>
      <w:lvlJc w:val="left"/>
      <w:pPr>
        <w:tabs>
          <w:tab w:val="num" w:pos="5186"/>
        </w:tabs>
        <w:ind w:left="5186" w:hanging="360"/>
      </w:pPr>
      <w:rPr>
        <w:rFonts w:ascii="Symbol" w:hAnsi="Symbol" w:hint="default"/>
      </w:rPr>
    </w:lvl>
    <w:lvl w:ilvl="7" w:tplc="040C0003" w:tentative="1">
      <w:start w:val="1"/>
      <w:numFmt w:val="bullet"/>
      <w:lvlText w:val="o"/>
      <w:lvlJc w:val="left"/>
      <w:pPr>
        <w:tabs>
          <w:tab w:val="num" w:pos="5906"/>
        </w:tabs>
        <w:ind w:left="5906" w:hanging="360"/>
      </w:pPr>
      <w:rPr>
        <w:rFonts w:ascii="Courier New" w:hAnsi="Courier New" w:cs="Courier New" w:hint="default"/>
      </w:rPr>
    </w:lvl>
    <w:lvl w:ilvl="8" w:tplc="040C0005" w:tentative="1">
      <w:start w:val="1"/>
      <w:numFmt w:val="bullet"/>
      <w:lvlText w:val=""/>
      <w:lvlJc w:val="left"/>
      <w:pPr>
        <w:tabs>
          <w:tab w:val="num" w:pos="6626"/>
        </w:tabs>
        <w:ind w:left="6626" w:hanging="360"/>
      </w:pPr>
      <w:rPr>
        <w:rFonts w:ascii="Wingdings" w:hAnsi="Wingdings" w:hint="default"/>
      </w:rPr>
    </w:lvl>
  </w:abstractNum>
  <w:abstractNum w:abstractNumId="6" w15:restartNumberingAfterBreak="0">
    <w:nsid w:val="49017858"/>
    <w:multiLevelType w:val="hybridMultilevel"/>
    <w:tmpl w:val="65D8880A"/>
    <w:lvl w:ilvl="0" w:tplc="1AE07F12">
      <w:start w:val="1"/>
      <w:numFmt w:val="decimal"/>
      <w:lvlText w:val="%1-"/>
      <w:lvlJc w:val="left"/>
      <w:pPr>
        <w:tabs>
          <w:tab w:val="num" w:pos="720"/>
        </w:tabs>
        <w:ind w:left="720" w:hanging="360"/>
      </w:pPr>
    </w:lvl>
    <w:lvl w:ilvl="1" w:tplc="6870201A">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 w15:restartNumberingAfterBreak="0">
    <w:nsid w:val="4948194A"/>
    <w:multiLevelType w:val="hybridMultilevel"/>
    <w:tmpl w:val="D9924F80"/>
    <w:lvl w:ilvl="0" w:tplc="04081576">
      <w:start w:val="1"/>
      <w:numFmt w:val="bullet"/>
      <w:lvlText w:val=""/>
      <w:lvlJc w:val="left"/>
      <w:pPr>
        <w:ind w:left="720" w:hanging="360"/>
      </w:pPr>
      <w:rPr>
        <w:rFonts w:ascii="Symbol" w:hAnsi="Symbol" w:hint="default"/>
      </w:rPr>
    </w:lvl>
    <w:lvl w:ilvl="1" w:tplc="9CE0EACA" w:tentative="1">
      <w:start w:val="1"/>
      <w:numFmt w:val="bullet"/>
      <w:lvlText w:val="o"/>
      <w:lvlJc w:val="left"/>
      <w:pPr>
        <w:ind w:left="1440" w:hanging="360"/>
      </w:pPr>
      <w:rPr>
        <w:rFonts w:ascii="Courier New" w:hAnsi="Courier New" w:cs="Courier New" w:hint="default"/>
      </w:rPr>
    </w:lvl>
    <w:lvl w:ilvl="2" w:tplc="F280A2A4" w:tentative="1">
      <w:start w:val="1"/>
      <w:numFmt w:val="bullet"/>
      <w:lvlText w:val=""/>
      <w:lvlJc w:val="left"/>
      <w:pPr>
        <w:ind w:left="2160" w:hanging="360"/>
      </w:pPr>
      <w:rPr>
        <w:rFonts w:ascii="Wingdings" w:hAnsi="Wingdings" w:hint="default"/>
      </w:rPr>
    </w:lvl>
    <w:lvl w:ilvl="3" w:tplc="04B4E872" w:tentative="1">
      <w:start w:val="1"/>
      <w:numFmt w:val="bullet"/>
      <w:lvlText w:val=""/>
      <w:lvlJc w:val="left"/>
      <w:pPr>
        <w:ind w:left="2880" w:hanging="360"/>
      </w:pPr>
      <w:rPr>
        <w:rFonts w:ascii="Symbol" w:hAnsi="Symbol" w:hint="default"/>
      </w:rPr>
    </w:lvl>
    <w:lvl w:ilvl="4" w:tplc="00E6DEF2" w:tentative="1">
      <w:start w:val="1"/>
      <w:numFmt w:val="bullet"/>
      <w:lvlText w:val="o"/>
      <w:lvlJc w:val="left"/>
      <w:pPr>
        <w:ind w:left="3600" w:hanging="360"/>
      </w:pPr>
      <w:rPr>
        <w:rFonts w:ascii="Courier New" w:hAnsi="Courier New" w:cs="Courier New" w:hint="default"/>
      </w:rPr>
    </w:lvl>
    <w:lvl w:ilvl="5" w:tplc="7ACEA1B4" w:tentative="1">
      <w:start w:val="1"/>
      <w:numFmt w:val="bullet"/>
      <w:lvlText w:val=""/>
      <w:lvlJc w:val="left"/>
      <w:pPr>
        <w:ind w:left="4320" w:hanging="360"/>
      </w:pPr>
      <w:rPr>
        <w:rFonts w:ascii="Wingdings" w:hAnsi="Wingdings" w:hint="default"/>
      </w:rPr>
    </w:lvl>
    <w:lvl w:ilvl="6" w:tplc="DFD6BF86" w:tentative="1">
      <w:start w:val="1"/>
      <w:numFmt w:val="bullet"/>
      <w:lvlText w:val=""/>
      <w:lvlJc w:val="left"/>
      <w:pPr>
        <w:ind w:left="5040" w:hanging="360"/>
      </w:pPr>
      <w:rPr>
        <w:rFonts w:ascii="Symbol" w:hAnsi="Symbol" w:hint="default"/>
      </w:rPr>
    </w:lvl>
    <w:lvl w:ilvl="7" w:tplc="17068AE2" w:tentative="1">
      <w:start w:val="1"/>
      <w:numFmt w:val="bullet"/>
      <w:lvlText w:val="o"/>
      <w:lvlJc w:val="left"/>
      <w:pPr>
        <w:ind w:left="5760" w:hanging="360"/>
      </w:pPr>
      <w:rPr>
        <w:rFonts w:ascii="Courier New" w:hAnsi="Courier New" w:cs="Courier New" w:hint="default"/>
      </w:rPr>
    </w:lvl>
    <w:lvl w:ilvl="8" w:tplc="AC42FA8E" w:tentative="1">
      <w:start w:val="1"/>
      <w:numFmt w:val="bullet"/>
      <w:lvlText w:val=""/>
      <w:lvlJc w:val="left"/>
      <w:pPr>
        <w:ind w:left="6480" w:hanging="360"/>
      </w:pPr>
      <w:rPr>
        <w:rFonts w:ascii="Wingdings" w:hAnsi="Wingdings" w:hint="default"/>
      </w:rPr>
    </w:lvl>
  </w:abstractNum>
  <w:abstractNum w:abstractNumId="8" w15:restartNumberingAfterBreak="0">
    <w:nsid w:val="4FFC3ACA"/>
    <w:multiLevelType w:val="hybridMultilevel"/>
    <w:tmpl w:val="27E6F436"/>
    <w:lvl w:ilvl="0" w:tplc="34C0350E">
      <w:start w:val="10"/>
      <w:numFmt w:val="bullet"/>
      <w:lvlText w:val="-"/>
      <w:lvlJc w:val="left"/>
      <w:pPr>
        <w:tabs>
          <w:tab w:val="num" w:pos="1491"/>
        </w:tabs>
        <w:ind w:left="1491" w:hanging="360"/>
      </w:pPr>
      <w:rPr>
        <w:rFonts w:ascii="Times New Roman" w:eastAsia="Times New Roman" w:hAnsi="Times New Roman" w:cs="Times New Roman" w:hint="default"/>
      </w:rPr>
    </w:lvl>
    <w:lvl w:ilvl="1" w:tplc="040C0003" w:tentative="1">
      <w:start w:val="1"/>
      <w:numFmt w:val="bullet"/>
      <w:lvlText w:val="o"/>
      <w:lvlJc w:val="left"/>
      <w:pPr>
        <w:tabs>
          <w:tab w:val="num" w:pos="1866"/>
        </w:tabs>
        <w:ind w:left="1866" w:hanging="360"/>
      </w:pPr>
      <w:rPr>
        <w:rFonts w:ascii="Courier New" w:hAnsi="Courier New" w:cs="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cs="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cs="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num w:numId="1">
    <w:abstractNumId w:val="2"/>
  </w:num>
  <w:num w:numId="2">
    <w:abstractNumId w:val="0"/>
  </w:num>
  <w:num w:numId="3">
    <w:abstractNumId w:val="8"/>
  </w:num>
  <w:num w:numId="4">
    <w:abstractNumId w:val="6"/>
  </w:num>
  <w:num w:numId="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47253"/>
    <w:rsid w:val="00054575"/>
    <w:rsid w:val="000574EC"/>
    <w:rsid w:val="000654CA"/>
    <w:rsid w:val="00085060"/>
    <w:rsid w:val="00090DA9"/>
    <w:rsid w:val="000B0862"/>
    <w:rsid w:val="000B270C"/>
    <w:rsid w:val="000E7B17"/>
    <w:rsid w:val="00100623"/>
    <w:rsid w:val="00165E85"/>
    <w:rsid w:val="00173F26"/>
    <w:rsid w:val="00213B01"/>
    <w:rsid w:val="002F2B0D"/>
    <w:rsid w:val="0031064C"/>
    <w:rsid w:val="00313E02"/>
    <w:rsid w:val="0032419F"/>
    <w:rsid w:val="0034583A"/>
    <w:rsid w:val="003465C0"/>
    <w:rsid w:val="00350ED5"/>
    <w:rsid w:val="00385CBF"/>
    <w:rsid w:val="0039091A"/>
    <w:rsid w:val="003B3076"/>
    <w:rsid w:val="003C1548"/>
    <w:rsid w:val="00464D06"/>
    <w:rsid w:val="004B61AE"/>
    <w:rsid w:val="004B6305"/>
    <w:rsid w:val="004C3121"/>
    <w:rsid w:val="00582F23"/>
    <w:rsid w:val="00593332"/>
    <w:rsid w:val="005B1B44"/>
    <w:rsid w:val="005D3160"/>
    <w:rsid w:val="005F6D78"/>
    <w:rsid w:val="00604C03"/>
    <w:rsid w:val="00647253"/>
    <w:rsid w:val="006E62C5"/>
    <w:rsid w:val="006E6905"/>
    <w:rsid w:val="008004D8"/>
    <w:rsid w:val="00803337"/>
    <w:rsid w:val="00834056"/>
    <w:rsid w:val="008433FE"/>
    <w:rsid w:val="008657FB"/>
    <w:rsid w:val="008A5DDD"/>
    <w:rsid w:val="008A5E2E"/>
    <w:rsid w:val="008A7A14"/>
    <w:rsid w:val="008B4FA6"/>
    <w:rsid w:val="009077CE"/>
    <w:rsid w:val="009417E6"/>
    <w:rsid w:val="00961C3B"/>
    <w:rsid w:val="00981999"/>
    <w:rsid w:val="009855CC"/>
    <w:rsid w:val="009C336D"/>
    <w:rsid w:val="009C3B7A"/>
    <w:rsid w:val="009E458A"/>
    <w:rsid w:val="00A00A2E"/>
    <w:rsid w:val="00A00D09"/>
    <w:rsid w:val="00A134C3"/>
    <w:rsid w:val="00A24CFA"/>
    <w:rsid w:val="00A451D8"/>
    <w:rsid w:val="00A54769"/>
    <w:rsid w:val="00A72767"/>
    <w:rsid w:val="00A865D2"/>
    <w:rsid w:val="00A96AF1"/>
    <w:rsid w:val="00A97203"/>
    <w:rsid w:val="00AD21A2"/>
    <w:rsid w:val="00AF1910"/>
    <w:rsid w:val="00B04BE2"/>
    <w:rsid w:val="00B8080E"/>
    <w:rsid w:val="00B81C44"/>
    <w:rsid w:val="00B83EE4"/>
    <w:rsid w:val="00B96326"/>
    <w:rsid w:val="00BA393E"/>
    <w:rsid w:val="00BC22BB"/>
    <w:rsid w:val="00BE6DCF"/>
    <w:rsid w:val="00C24DB8"/>
    <w:rsid w:val="00C278DD"/>
    <w:rsid w:val="00C76505"/>
    <w:rsid w:val="00C90216"/>
    <w:rsid w:val="00CC358E"/>
    <w:rsid w:val="00CF04D5"/>
    <w:rsid w:val="00D022E3"/>
    <w:rsid w:val="00D143F2"/>
    <w:rsid w:val="00D20D86"/>
    <w:rsid w:val="00D870A5"/>
    <w:rsid w:val="00D94CFB"/>
    <w:rsid w:val="00DA3246"/>
    <w:rsid w:val="00DC4D3A"/>
    <w:rsid w:val="00DF10B0"/>
    <w:rsid w:val="00DF5B66"/>
    <w:rsid w:val="00E006EA"/>
    <w:rsid w:val="00E1092B"/>
    <w:rsid w:val="00E2379C"/>
    <w:rsid w:val="00E7781F"/>
    <w:rsid w:val="00E80B98"/>
    <w:rsid w:val="00E868DB"/>
    <w:rsid w:val="00E93CE9"/>
    <w:rsid w:val="00EB0E81"/>
    <w:rsid w:val="00F14AF2"/>
    <w:rsid w:val="00F22E0F"/>
    <w:rsid w:val="00FA3DD7"/>
    <w:rsid w:val="00FA61F2"/>
    <w:rsid w:val="00FC67B0"/>
    <w:rsid w:val="00FD2E16"/>
    <w:rsid w:val="00FD65D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172F3F-71EA-4AC0-82DF-36089270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253"/>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647253"/>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47253"/>
    <w:rPr>
      <w:rFonts w:ascii="Arial" w:eastAsia="Times New Roman" w:hAnsi="Arial" w:cs="Arial"/>
      <w:b/>
      <w:bCs/>
      <w:kern w:val="32"/>
      <w:sz w:val="32"/>
      <w:szCs w:val="32"/>
      <w:lang w:eastAsia="fr-FR"/>
    </w:rPr>
  </w:style>
  <w:style w:type="paragraph" w:styleId="Pieddepage">
    <w:name w:val="footer"/>
    <w:basedOn w:val="Normal"/>
    <w:link w:val="PieddepageCar"/>
    <w:uiPriority w:val="99"/>
    <w:rsid w:val="00647253"/>
    <w:pPr>
      <w:tabs>
        <w:tab w:val="center" w:pos="4536"/>
        <w:tab w:val="right" w:pos="9072"/>
      </w:tabs>
    </w:pPr>
  </w:style>
  <w:style w:type="character" w:customStyle="1" w:styleId="PieddepageCar">
    <w:name w:val="Pied de page Car"/>
    <w:basedOn w:val="Policepardfaut"/>
    <w:link w:val="Pieddepage"/>
    <w:uiPriority w:val="99"/>
    <w:rsid w:val="00647253"/>
    <w:rPr>
      <w:rFonts w:ascii="Times New Roman" w:eastAsia="Times New Roman" w:hAnsi="Times New Roman" w:cs="Times New Roman"/>
      <w:sz w:val="24"/>
      <w:szCs w:val="24"/>
      <w:lang w:eastAsia="fr-FR"/>
    </w:rPr>
  </w:style>
  <w:style w:type="paragraph" w:styleId="Normalcentr">
    <w:name w:val="Block Text"/>
    <w:basedOn w:val="Normal"/>
    <w:rsid w:val="00647253"/>
    <w:pPr>
      <w:ind w:left="851" w:right="992"/>
      <w:jc w:val="both"/>
    </w:pPr>
    <w:rPr>
      <w:sz w:val="22"/>
      <w:szCs w:val="20"/>
    </w:rPr>
  </w:style>
  <w:style w:type="paragraph" w:customStyle="1" w:styleId="yman1">
    <w:name w:val="yman1"/>
    <w:basedOn w:val="Normal"/>
    <w:rsid w:val="00647253"/>
    <w:pPr>
      <w:tabs>
        <w:tab w:val="left" w:pos="6920"/>
      </w:tabs>
    </w:pPr>
    <w:rPr>
      <w:b/>
      <w:bCs/>
      <w:sz w:val="28"/>
      <w:szCs w:val="28"/>
    </w:rPr>
  </w:style>
  <w:style w:type="character" w:styleId="Lienhypertexte">
    <w:name w:val="Hyperlink"/>
    <w:basedOn w:val="Policepardfaut"/>
    <w:uiPriority w:val="99"/>
    <w:rsid w:val="00647253"/>
    <w:rPr>
      <w:color w:val="0000FF"/>
      <w:u w:val="single"/>
    </w:rPr>
  </w:style>
  <w:style w:type="paragraph" w:styleId="En-tte">
    <w:name w:val="header"/>
    <w:basedOn w:val="Normal"/>
    <w:link w:val="En-tteCar"/>
    <w:uiPriority w:val="99"/>
    <w:semiHidden/>
    <w:unhideWhenUsed/>
    <w:rsid w:val="0032419F"/>
    <w:pPr>
      <w:tabs>
        <w:tab w:val="center" w:pos="4536"/>
        <w:tab w:val="right" w:pos="9072"/>
      </w:tabs>
    </w:pPr>
  </w:style>
  <w:style w:type="character" w:customStyle="1" w:styleId="En-tteCar">
    <w:name w:val="En-tête Car"/>
    <w:basedOn w:val="Policepardfaut"/>
    <w:link w:val="En-tte"/>
    <w:uiPriority w:val="99"/>
    <w:semiHidden/>
    <w:rsid w:val="0032419F"/>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2419F"/>
    <w:pPr>
      <w:ind w:left="708"/>
    </w:pPr>
  </w:style>
  <w:style w:type="table" w:styleId="Grilledutableau">
    <w:name w:val="Table Grid"/>
    <w:basedOn w:val="TableauNormal"/>
    <w:uiPriority w:val="59"/>
    <w:rsid w:val="00313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567075">
      <w:bodyDiv w:val="1"/>
      <w:marLeft w:val="0"/>
      <w:marRight w:val="0"/>
      <w:marTop w:val="0"/>
      <w:marBottom w:val="0"/>
      <w:divBdr>
        <w:top w:val="none" w:sz="0" w:space="0" w:color="auto"/>
        <w:left w:val="none" w:sz="0" w:space="0" w:color="auto"/>
        <w:bottom w:val="none" w:sz="0" w:space="0" w:color="auto"/>
        <w:right w:val="none" w:sz="0" w:space="0" w:color="auto"/>
      </w:divBdr>
    </w:div>
    <w:div w:id="164142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343</Words>
  <Characters>1887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l.daoudi</dc:creator>
  <cp:lastModifiedBy>ENSET</cp:lastModifiedBy>
  <cp:revision>6</cp:revision>
  <dcterms:created xsi:type="dcterms:W3CDTF">2016-10-19T14:37:00Z</dcterms:created>
  <dcterms:modified xsi:type="dcterms:W3CDTF">2016-10-31T15:46:00Z</dcterms:modified>
</cp:coreProperties>
</file>